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62F0">
      <w:pPr>
        <w:jc w:val="cente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凯里市中医医院网络安全等级保护测评</w:t>
      </w:r>
    </w:p>
    <w:p w14:paraId="6C325F29">
      <w:pPr>
        <w:jc w:val="cente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服务招标评分标准</w:t>
      </w:r>
    </w:p>
    <w:p w14:paraId="37E0B008">
      <w:pPr>
        <w:rPr>
          <w:rFonts w:hint="eastAsia" w:ascii="宋体" w:hAnsi="宋体" w:eastAsia="宋体" w:cs="宋体"/>
          <w:color w:val="000000" w:themeColor="text1"/>
          <w:sz w:val="34"/>
          <w:szCs w:val="34"/>
          <w:shd w:val="clear" w:color="auto" w:fill="FFFFFF"/>
          <w:lang w:val="en-US" w:eastAsia="zh-CN"/>
          <w14:textFill>
            <w14:solidFill>
              <w14:schemeClr w14:val="tx1"/>
            </w14:solidFill>
          </w14:textFill>
        </w:rPr>
      </w:pPr>
    </w:p>
    <w:p w14:paraId="44ACE15A">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34"/>
          <w:szCs w:val="34"/>
          <w:shd w:val="clear" w:color="auto" w:fill="FFFFFF"/>
          <w:lang w:val="en-US" w:eastAsia="zh-CN"/>
          <w14:textFill>
            <w14:solidFill>
              <w14:schemeClr w14:val="tx1"/>
            </w14:solidFill>
          </w14:textFill>
        </w:rPr>
        <w:t>附件1：评分标准</w:t>
      </w:r>
    </w:p>
    <w:tbl>
      <w:tblPr>
        <w:tblStyle w:val="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918"/>
        <w:gridCol w:w="5946"/>
        <w:gridCol w:w="710"/>
      </w:tblGrid>
      <w:tr w14:paraId="66A0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13" w:type="dxa"/>
            <w:vAlign w:val="center"/>
          </w:tcPr>
          <w:p w14:paraId="30AE9EBB">
            <w:pPr>
              <w:spacing w:line="480" w:lineRule="exact"/>
              <w:jc w:val="center"/>
              <w:rPr>
                <w:rFonts w:hint="eastAsia" w:ascii="仿宋_GB2312" w:hAnsi="仿宋_GB2312" w:eastAsia="仿宋_GB2312" w:cs="仿宋_GB2312"/>
                <w:bCs/>
                <w:sz w:val="24"/>
                <w:szCs w:val="24"/>
                <w:lang w:val="en-US" w:eastAsia="zh-CN"/>
              </w:rPr>
            </w:pPr>
            <w:bookmarkStart w:id="0" w:name="_Toc26182"/>
            <w:bookmarkStart w:id="1" w:name="_Toc5594"/>
            <w:bookmarkStart w:id="2" w:name="_Toc28534"/>
            <w:r>
              <w:rPr>
                <w:rFonts w:hint="eastAsia" w:ascii="黑体" w:hAnsi="黑体" w:eastAsia="黑体" w:cs="黑体"/>
                <w:b w:val="0"/>
                <w:bCs/>
                <w:sz w:val="24"/>
                <w:szCs w:val="24"/>
                <w:lang w:val="en-US" w:eastAsia="zh-CN"/>
              </w:rPr>
              <w:t>评分因素</w:t>
            </w:r>
          </w:p>
        </w:tc>
        <w:tc>
          <w:tcPr>
            <w:tcW w:w="918" w:type="dxa"/>
            <w:vAlign w:val="center"/>
          </w:tcPr>
          <w:p w14:paraId="7C03263F">
            <w:pPr>
              <w:spacing w:line="480" w:lineRule="exact"/>
              <w:jc w:val="center"/>
              <w:rPr>
                <w:rFonts w:hint="eastAsia" w:ascii="仿宋_GB2312" w:hAnsi="仿宋_GB2312" w:eastAsia="仿宋_GB2312" w:cs="仿宋_GB2312"/>
                <w:b/>
                <w:bCs w:val="0"/>
                <w:sz w:val="24"/>
                <w:szCs w:val="24"/>
                <w:lang w:val="en-US" w:eastAsia="zh-CN"/>
              </w:rPr>
            </w:pPr>
            <w:r>
              <w:rPr>
                <w:rFonts w:hint="eastAsia" w:ascii="黑体" w:hAnsi="黑体" w:eastAsia="黑体" w:cs="黑体"/>
                <w:b w:val="0"/>
                <w:bCs/>
                <w:sz w:val="24"/>
                <w:szCs w:val="24"/>
              </w:rPr>
              <w:t>评分</w:t>
            </w:r>
            <w:bookmarkEnd w:id="0"/>
            <w:bookmarkEnd w:id="1"/>
            <w:bookmarkEnd w:id="2"/>
            <w:r>
              <w:rPr>
                <w:rFonts w:hint="eastAsia" w:ascii="黑体" w:hAnsi="黑体" w:eastAsia="黑体" w:cs="黑体"/>
                <w:b w:val="0"/>
                <w:bCs/>
                <w:sz w:val="24"/>
                <w:szCs w:val="24"/>
                <w:lang w:val="en-US" w:eastAsia="zh-CN"/>
              </w:rPr>
              <w:t>细则</w:t>
            </w:r>
          </w:p>
        </w:tc>
        <w:tc>
          <w:tcPr>
            <w:tcW w:w="5946" w:type="dxa"/>
            <w:vAlign w:val="center"/>
          </w:tcPr>
          <w:p w14:paraId="4D99C0A2">
            <w:pPr>
              <w:spacing w:line="480" w:lineRule="exact"/>
              <w:jc w:val="center"/>
              <w:rPr>
                <w:rFonts w:hint="eastAsia" w:ascii="仿宋_GB2312" w:hAnsi="仿宋_GB2312" w:eastAsia="仿宋_GB2312" w:cs="仿宋_GB2312"/>
                <w:b/>
                <w:bCs w:val="0"/>
                <w:sz w:val="24"/>
                <w:szCs w:val="24"/>
              </w:rPr>
            </w:pPr>
            <w:bookmarkStart w:id="3" w:name="_Toc25059"/>
            <w:bookmarkStart w:id="4" w:name="_Toc2836"/>
            <w:bookmarkStart w:id="5" w:name="_Toc8675"/>
            <w:r>
              <w:rPr>
                <w:rFonts w:hint="eastAsia" w:ascii="黑体" w:hAnsi="黑体" w:eastAsia="黑体" w:cs="黑体"/>
                <w:b w:val="0"/>
                <w:bCs/>
                <w:sz w:val="24"/>
                <w:szCs w:val="24"/>
              </w:rPr>
              <w:t>说   明</w:t>
            </w:r>
            <w:bookmarkEnd w:id="3"/>
            <w:bookmarkEnd w:id="4"/>
            <w:bookmarkEnd w:id="5"/>
          </w:p>
        </w:tc>
        <w:tc>
          <w:tcPr>
            <w:tcW w:w="710" w:type="dxa"/>
            <w:vAlign w:val="center"/>
          </w:tcPr>
          <w:p w14:paraId="5F25FBE0">
            <w:pPr>
              <w:spacing w:line="480" w:lineRule="exact"/>
              <w:jc w:val="center"/>
              <w:rPr>
                <w:rFonts w:hint="eastAsia" w:ascii="仿宋_GB2312" w:hAnsi="仿宋_GB2312" w:eastAsia="仿宋_GB2312" w:cs="仿宋_GB2312"/>
                <w:b/>
                <w:bCs w:val="0"/>
                <w:sz w:val="24"/>
                <w:szCs w:val="24"/>
                <w:lang w:val="en-US" w:eastAsia="zh-CN"/>
              </w:rPr>
            </w:pPr>
            <w:r>
              <w:rPr>
                <w:rFonts w:hint="eastAsia" w:ascii="黑体" w:hAnsi="黑体" w:eastAsia="黑体" w:cs="黑体"/>
                <w:b w:val="0"/>
                <w:bCs/>
                <w:sz w:val="24"/>
                <w:szCs w:val="24"/>
                <w:lang w:val="en-US" w:eastAsia="zh-CN"/>
              </w:rPr>
              <w:t>满分</w:t>
            </w:r>
          </w:p>
        </w:tc>
      </w:tr>
      <w:tr w14:paraId="3063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13" w:type="dxa"/>
            <w:vAlign w:val="center"/>
          </w:tcPr>
          <w:p w14:paraId="28EFB934">
            <w:pPr>
              <w:spacing w:line="480" w:lineRule="exact"/>
              <w:jc w:val="center"/>
              <w:rPr>
                <w:rFonts w:hint="eastAsia" w:ascii="仿宋_GB2312" w:hAnsi="仿宋_GB2312" w:eastAsia="仿宋_GB2312" w:cs="仿宋_GB2312"/>
                <w:bCs/>
                <w:sz w:val="24"/>
                <w:szCs w:val="24"/>
                <w:lang w:val="en-US" w:eastAsia="zh-CN"/>
              </w:rPr>
            </w:pPr>
            <w:bookmarkStart w:id="6" w:name="_Toc24027"/>
            <w:bookmarkStart w:id="7" w:name="_Toc10818"/>
            <w:bookmarkStart w:id="8" w:name="_Toc22855"/>
            <w:r>
              <w:rPr>
                <w:rFonts w:hint="eastAsia" w:ascii="黑体" w:hAnsi="黑体" w:eastAsia="黑体" w:cs="黑体"/>
                <w:b w:val="0"/>
                <w:bCs w:val="0"/>
                <w:color w:val="000000"/>
                <w:sz w:val="24"/>
                <w:szCs w:val="24"/>
              </w:rPr>
              <w:t>报价</w:t>
            </w:r>
            <w:r>
              <w:rPr>
                <w:rFonts w:hint="eastAsia" w:ascii="黑体" w:hAnsi="黑体" w:eastAsia="黑体" w:cs="黑体"/>
                <w:b w:val="0"/>
                <w:bCs w:val="0"/>
                <w:color w:val="000000" w:themeColor="text1"/>
                <w:sz w:val="24"/>
                <w:szCs w:val="24"/>
                <w14:textFill>
                  <w14:solidFill>
                    <w14:schemeClr w14:val="tx1"/>
                  </w14:solidFill>
                </w14:textFill>
              </w:rPr>
              <w:t>部</w:t>
            </w:r>
            <w:r>
              <w:rPr>
                <w:rFonts w:hint="eastAsia" w:ascii="黑体" w:hAnsi="黑体" w:eastAsia="黑体" w:cs="黑体"/>
                <w:b w:val="0"/>
                <w:bCs w:val="0"/>
                <w:color w:val="000000" w:themeColor="text1"/>
                <w:sz w:val="24"/>
                <w:szCs w:val="24"/>
                <w:lang w:val="en-US" w:eastAsia="zh-CN"/>
                <w14:textFill>
                  <w14:solidFill>
                    <w14:schemeClr w14:val="tx1"/>
                  </w14:solidFill>
                </w14:textFill>
              </w:rPr>
              <w:t>分（1</w:t>
            </w:r>
            <w:r>
              <w:rPr>
                <w:rFonts w:hint="eastAsia" w:ascii="黑体" w:hAnsi="黑体" w:eastAsia="黑体" w:cs="黑体"/>
                <w:b w:val="0"/>
                <w:bCs w:val="0"/>
                <w:color w:val="000000" w:themeColor="text1"/>
                <w:sz w:val="24"/>
                <w:szCs w:val="24"/>
                <w14:textFill>
                  <w14:solidFill>
                    <w14:schemeClr w14:val="tx1"/>
                  </w14:solidFill>
                </w14:textFill>
              </w:rPr>
              <w:t>0分</w:t>
            </w:r>
            <w:r>
              <w:rPr>
                <w:rFonts w:hint="eastAsia" w:ascii="黑体" w:hAnsi="黑体" w:eastAsia="黑体" w:cs="黑体"/>
                <w:b w:val="0"/>
                <w:bCs w:val="0"/>
                <w:color w:val="000000" w:themeColor="text1"/>
                <w:sz w:val="24"/>
                <w:szCs w:val="24"/>
                <w:lang w:val="en-US" w:eastAsia="zh-CN"/>
                <w14:textFill>
                  <w14:solidFill>
                    <w14:schemeClr w14:val="tx1"/>
                  </w14:solidFill>
                </w14:textFill>
              </w:rPr>
              <w:t>）</w:t>
            </w:r>
          </w:p>
        </w:tc>
        <w:tc>
          <w:tcPr>
            <w:tcW w:w="918" w:type="dxa"/>
            <w:vAlign w:val="center"/>
          </w:tcPr>
          <w:p w14:paraId="2F8E275C">
            <w:pPr>
              <w:spacing w:line="48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报价</w:t>
            </w:r>
            <w:bookmarkEnd w:id="6"/>
            <w:bookmarkEnd w:id="7"/>
            <w:bookmarkEnd w:id="8"/>
            <w:r>
              <w:rPr>
                <w:rFonts w:hint="eastAsia" w:ascii="仿宋_GB2312" w:hAnsi="仿宋_GB2312" w:eastAsia="仿宋_GB2312" w:cs="仿宋_GB2312"/>
                <w:bCs/>
                <w:sz w:val="24"/>
                <w:szCs w:val="24"/>
                <w:lang w:val="en-US" w:eastAsia="zh-CN"/>
              </w:rPr>
              <w:t>部分</w:t>
            </w:r>
          </w:p>
        </w:tc>
        <w:tc>
          <w:tcPr>
            <w:tcW w:w="5946" w:type="dxa"/>
            <w:vAlign w:val="top"/>
          </w:tcPr>
          <w:p w14:paraId="657A71D5">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投标报价得分=(评标基准价／投标报价)×10</w:t>
            </w:r>
          </w:p>
          <w:p w14:paraId="4DE25250">
            <w:pPr>
              <w:spacing w:line="480" w:lineRule="exact"/>
              <w:jc w:val="both"/>
              <w:rPr>
                <w:rFonts w:hint="eastAsia" w:ascii="仿宋_GB2312" w:hAnsi="仿宋_GB2312" w:eastAsia="仿宋_GB2312" w:cs="仿宋_GB2312"/>
                <w:bCs/>
                <w:sz w:val="28"/>
                <w:szCs w:val="28"/>
              </w:rPr>
            </w:pPr>
            <w:bookmarkStart w:id="9" w:name="_Toc17302"/>
            <w:bookmarkStart w:id="10" w:name="_Toc17204"/>
            <w:bookmarkStart w:id="11" w:name="_Toc28178"/>
            <w:r>
              <w:rPr>
                <w:rFonts w:hint="eastAsia" w:ascii="仿宋_GB2312" w:hAnsi="仿宋_GB2312" w:eastAsia="仿宋_GB2312" w:cs="仿宋_GB2312"/>
                <w:bCs/>
                <w:sz w:val="28"/>
                <w:szCs w:val="28"/>
              </w:rPr>
              <w:t>注：</w:t>
            </w:r>
          </w:p>
          <w:p w14:paraId="4B0D7D3C">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1.满足磋商文件要求且投标价格最低的投标报价为评标基准价，其价格分为满分。</w:t>
            </w:r>
          </w:p>
          <w:p w14:paraId="61709EC0">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2.投标人投标报价超过预算价或最高限价或未按磋商文件要求进行报价的，作无效投标处理。</w:t>
            </w:r>
            <w:bookmarkEnd w:id="9"/>
            <w:bookmarkEnd w:id="10"/>
            <w:bookmarkEnd w:id="11"/>
          </w:p>
          <w:p w14:paraId="41E05E49">
            <w:pPr>
              <w:spacing w:line="48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Cs/>
                <w:sz w:val="28"/>
                <w:szCs w:val="28"/>
              </w:rPr>
              <w:t>3.投标报价以最终报价为准</w:t>
            </w:r>
            <w:r>
              <w:rPr>
                <w:rFonts w:hint="eastAsia" w:ascii="仿宋_GB2312" w:hAnsi="仿宋_GB2312" w:eastAsia="仿宋_GB2312" w:cs="仿宋_GB2312"/>
                <w:bCs/>
                <w:sz w:val="24"/>
                <w:szCs w:val="24"/>
              </w:rPr>
              <w:t>。</w:t>
            </w:r>
          </w:p>
        </w:tc>
        <w:tc>
          <w:tcPr>
            <w:tcW w:w="710" w:type="dxa"/>
            <w:vAlign w:val="center"/>
          </w:tcPr>
          <w:p w14:paraId="67AA56EC">
            <w:pPr>
              <w:spacing w:line="48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2B2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restart"/>
            <w:vAlign w:val="center"/>
          </w:tcPr>
          <w:p w14:paraId="33062F56">
            <w:pPr>
              <w:spacing w:line="480" w:lineRule="exact"/>
              <w:jc w:val="center"/>
              <w:rPr>
                <w:rFonts w:hint="eastAsia" w:ascii="仿宋_GB2312" w:hAnsi="仿宋_GB2312" w:eastAsia="仿宋_GB2312" w:cs="仿宋_GB2312"/>
                <w:bCs/>
                <w:sz w:val="24"/>
                <w:szCs w:val="24"/>
                <w:lang w:val="en-US" w:eastAsia="zh-CN"/>
              </w:rPr>
            </w:pPr>
            <w:r>
              <w:rPr>
                <w:rFonts w:hint="eastAsia" w:ascii="黑体" w:hAnsi="黑体" w:eastAsia="黑体" w:cs="黑体"/>
                <w:b w:val="0"/>
                <w:bCs w:val="0"/>
                <w:color w:val="000000"/>
                <w:sz w:val="24"/>
                <w:szCs w:val="24"/>
              </w:rPr>
              <w:t>商务部分（</w:t>
            </w:r>
            <w:r>
              <w:rPr>
                <w:rFonts w:hint="eastAsia" w:ascii="黑体" w:hAnsi="黑体" w:eastAsia="黑体" w:cs="黑体"/>
                <w:b w:val="0"/>
                <w:bCs w:val="0"/>
                <w:color w:val="000000"/>
                <w:sz w:val="24"/>
                <w:szCs w:val="24"/>
                <w:lang w:val="en-US" w:eastAsia="zh-CN"/>
              </w:rPr>
              <w:t>60</w:t>
            </w:r>
            <w:r>
              <w:rPr>
                <w:rFonts w:hint="eastAsia" w:ascii="黑体" w:hAnsi="黑体" w:eastAsia="黑体" w:cs="黑体"/>
                <w:b w:val="0"/>
                <w:bCs w:val="0"/>
                <w:color w:val="000000"/>
                <w:sz w:val="24"/>
                <w:szCs w:val="24"/>
              </w:rPr>
              <w:t>分）</w:t>
            </w:r>
          </w:p>
        </w:tc>
        <w:tc>
          <w:tcPr>
            <w:tcW w:w="918" w:type="dxa"/>
            <w:vAlign w:val="center"/>
          </w:tcPr>
          <w:p w14:paraId="6C2336C1">
            <w:pPr>
              <w:spacing w:line="48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bidi="ar"/>
              </w:rPr>
              <w:t>业绩</w:t>
            </w:r>
          </w:p>
        </w:tc>
        <w:tc>
          <w:tcPr>
            <w:tcW w:w="5946" w:type="dxa"/>
            <w:vAlign w:val="top"/>
          </w:tcPr>
          <w:p w14:paraId="71115F7E">
            <w:pPr>
              <w:spacing w:line="480"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2024年以来对投标人完成过等保测评服务成功案例进行评分</w:t>
            </w:r>
            <w:r>
              <w:rPr>
                <w:rFonts w:hint="eastAsia" w:ascii="微软雅黑" w:hAnsi="微软雅黑" w:eastAsia="微软雅黑" w:cs="微软雅黑"/>
                <w:sz w:val="24"/>
                <w:szCs w:val="24"/>
              </w:rPr>
              <w:t>［</w:t>
            </w:r>
            <w:r>
              <w:rPr>
                <w:rFonts w:hint="eastAsia" w:ascii="仿宋_GB2312" w:hAnsi="仿宋_GB2312" w:eastAsia="仿宋_GB2312" w:cs="仿宋_GB2312"/>
                <w:sz w:val="24"/>
                <w:szCs w:val="24"/>
              </w:rPr>
              <w:t>以合同关键页（包括双方盖章、合同金额、签约时间、采购内容）复印件为准，不重复计分</w:t>
            </w:r>
            <w:r>
              <w:rPr>
                <w:rFonts w:hint="eastAsia" w:ascii="微软雅黑" w:hAnsi="微软雅黑" w:eastAsia="微软雅黑" w:cs="微软雅黑"/>
                <w:sz w:val="24"/>
                <w:szCs w:val="24"/>
              </w:rPr>
              <w:t>］</w:t>
            </w:r>
            <w:r>
              <w:rPr>
                <w:rFonts w:hint="eastAsia" w:ascii="仿宋_GB2312" w:hAnsi="仿宋_GB2312" w:eastAsia="仿宋_GB2312" w:cs="仿宋_GB2312"/>
                <w:sz w:val="24"/>
                <w:szCs w:val="24"/>
              </w:rPr>
              <w:t>。每提供1个等保测评服务成功案例得5分，本项满分15分。</w:t>
            </w:r>
          </w:p>
        </w:tc>
        <w:tc>
          <w:tcPr>
            <w:tcW w:w="710" w:type="dxa"/>
            <w:vAlign w:val="center"/>
          </w:tcPr>
          <w:p w14:paraId="02477BA3">
            <w:pPr>
              <w:spacing w:line="48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r>
      <w:tr w14:paraId="25E0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vAlign w:val="center"/>
          </w:tcPr>
          <w:p w14:paraId="1E8F3D0A">
            <w:pPr>
              <w:spacing w:line="480" w:lineRule="exact"/>
              <w:jc w:val="center"/>
              <w:rPr>
                <w:rFonts w:hint="eastAsia" w:ascii="仿宋_GB2312" w:hAnsi="仿宋_GB2312" w:eastAsia="仿宋_GB2312" w:cs="仿宋_GB2312"/>
                <w:b/>
                <w:bCs/>
                <w:color w:val="000000"/>
                <w:sz w:val="24"/>
                <w:szCs w:val="24"/>
              </w:rPr>
            </w:pPr>
          </w:p>
        </w:tc>
        <w:tc>
          <w:tcPr>
            <w:tcW w:w="918" w:type="dxa"/>
            <w:vAlign w:val="center"/>
          </w:tcPr>
          <w:p w14:paraId="31FC3A4B">
            <w:pPr>
              <w:spacing w:line="48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项目团队</w:t>
            </w:r>
          </w:p>
        </w:tc>
        <w:tc>
          <w:tcPr>
            <w:tcW w:w="5946" w:type="dxa"/>
            <w:vAlign w:val="top"/>
          </w:tcPr>
          <w:p w14:paraId="250E8E71">
            <w:pPr>
              <w:widowControl/>
              <w:wordWrap w:val="0"/>
              <w:spacing w:line="360" w:lineRule="auto"/>
              <w:jc w:val="both"/>
              <w:rPr>
                <w:rFonts w:hint="eastAsia" w:ascii="黑体" w:hAnsi="黑体" w:eastAsia="黑体" w:cs="黑体"/>
                <w:sz w:val="24"/>
                <w:szCs w:val="24"/>
              </w:rPr>
            </w:pPr>
            <w:r>
              <w:rPr>
                <w:rFonts w:hint="eastAsia" w:ascii="黑体" w:hAnsi="黑体" w:eastAsia="黑体" w:cs="黑体"/>
                <w:sz w:val="24"/>
                <w:szCs w:val="24"/>
              </w:rPr>
              <w:t>（1）项目负责人（1人）</w:t>
            </w:r>
          </w:p>
          <w:p w14:paraId="4DC83F91">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具备高级测评师，得2分；</w:t>
            </w:r>
          </w:p>
          <w:p w14:paraId="5621479D">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具备注册渗透测试专家（CISP-PTS）证书得2分；</w:t>
            </w:r>
          </w:p>
          <w:p w14:paraId="4C773618">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具备信息系统安全专业认证证书（CISSP）得2分；</w:t>
            </w:r>
          </w:p>
          <w:p w14:paraId="302A2018">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具备CISAW信息安全保障人员认证证书得2分；</w:t>
            </w:r>
          </w:p>
          <w:p w14:paraId="12D67A7A">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具备职业能力认证证书（密码技术应用）得2分。</w:t>
            </w:r>
          </w:p>
          <w:p w14:paraId="40261FFE">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本项满分10分。</w:t>
            </w:r>
          </w:p>
          <w:p w14:paraId="7B3D155C">
            <w:pPr>
              <w:widowControl/>
              <w:numPr>
                <w:ilvl w:val="0"/>
                <w:numId w:val="1"/>
              </w:numPr>
              <w:wordWrap w:val="0"/>
              <w:spacing w:line="360" w:lineRule="auto"/>
              <w:jc w:val="both"/>
              <w:rPr>
                <w:rFonts w:hint="eastAsia" w:ascii="黑体" w:hAnsi="黑体" w:eastAsia="黑体" w:cs="黑体"/>
                <w:sz w:val="24"/>
                <w:szCs w:val="24"/>
              </w:rPr>
            </w:pPr>
            <w:r>
              <w:rPr>
                <w:rFonts w:hint="eastAsia" w:ascii="黑体" w:hAnsi="黑体" w:eastAsia="黑体" w:cs="黑体"/>
                <w:sz w:val="24"/>
                <w:szCs w:val="24"/>
              </w:rPr>
              <w:t>技术负责人（1人）</w:t>
            </w:r>
          </w:p>
          <w:p w14:paraId="5E76BAC3">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具备高级测评师，得2分；</w:t>
            </w:r>
          </w:p>
          <w:p w14:paraId="519E8CB5">
            <w:pPr>
              <w:widowControl/>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具备CISAW信息安全保障人员认证证书得2分。</w:t>
            </w:r>
            <w:bookmarkStart w:id="12" w:name="_GoBack"/>
            <w:bookmarkEnd w:id="12"/>
          </w:p>
          <w:p w14:paraId="1F001FE6">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具备职业能力认证证书（密码技术应用），得2分。</w:t>
            </w:r>
          </w:p>
          <w:p w14:paraId="174B30F5">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本项满分6分。</w:t>
            </w:r>
          </w:p>
          <w:p w14:paraId="7F62AB6D">
            <w:pPr>
              <w:widowControl/>
              <w:wordWrap w:val="0"/>
              <w:spacing w:line="360" w:lineRule="auto"/>
              <w:jc w:val="both"/>
              <w:rPr>
                <w:rFonts w:hint="eastAsia" w:ascii="黑体" w:hAnsi="黑体" w:eastAsia="黑体" w:cs="黑体"/>
                <w:sz w:val="24"/>
                <w:szCs w:val="24"/>
              </w:rPr>
            </w:pPr>
            <w:r>
              <w:rPr>
                <w:rFonts w:hint="eastAsia" w:ascii="黑体" w:hAnsi="黑体" w:eastAsia="黑体" w:cs="黑体"/>
                <w:sz w:val="24"/>
                <w:szCs w:val="24"/>
              </w:rPr>
              <w:t>（3）针对本项目配备渗透测试人员（1名）</w:t>
            </w:r>
          </w:p>
          <w:p w14:paraId="3E0BC72F">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1.具备渗透测试相关证书（NSATP-A、CISP-PTS）得2分；</w:t>
            </w:r>
          </w:p>
          <w:p w14:paraId="37454241">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3.具备注册应急响应工程师（CISP-IRE）得2分；</w:t>
            </w:r>
          </w:p>
          <w:p w14:paraId="6497DFCA">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具备网络安全等级测评师得2分。</w:t>
            </w:r>
          </w:p>
          <w:p w14:paraId="11727D4E">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本项满分6分</w:t>
            </w:r>
          </w:p>
          <w:p w14:paraId="5FA66363">
            <w:pPr>
              <w:widowControl/>
              <w:wordWrap w:val="0"/>
              <w:spacing w:line="360" w:lineRule="auto"/>
              <w:jc w:val="both"/>
              <w:rPr>
                <w:rFonts w:hint="eastAsia" w:ascii="黑体" w:hAnsi="黑体" w:eastAsia="黑体" w:cs="黑体"/>
                <w:sz w:val="24"/>
                <w:szCs w:val="24"/>
              </w:rPr>
            </w:pPr>
            <w:r>
              <w:rPr>
                <w:rFonts w:hint="eastAsia" w:ascii="黑体" w:hAnsi="黑体" w:eastAsia="黑体" w:cs="黑体"/>
                <w:sz w:val="24"/>
                <w:szCs w:val="24"/>
              </w:rPr>
              <w:t>（4）针对本项目配备的其他项目成员（人员不能</w:t>
            </w:r>
            <w:r>
              <w:rPr>
                <w:rFonts w:hint="eastAsia" w:ascii="黑体" w:hAnsi="黑体" w:eastAsia="黑体" w:cs="黑体"/>
                <w:sz w:val="24"/>
                <w:szCs w:val="24"/>
                <w:lang w:val="en-US" w:eastAsia="zh-CN"/>
              </w:rPr>
              <w:t>与以上</w:t>
            </w:r>
            <w:r>
              <w:rPr>
                <w:rFonts w:hint="eastAsia" w:ascii="黑体" w:hAnsi="黑体" w:eastAsia="黑体" w:cs="黑体"/>
                <w:sz w:val="24"/>
                <w:szCs w:val="24"/>
              </w:rPr>
              <w:t>重复）：</w:t>
            </w:r>
          </w:p>
          <w:p w14:paraId="63232A39">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1．具有1名中级测评师证书得1分，每增加1名加2分，满分4分</w:t>
            </w:r>
          </w:p>
          <w:p w14:paraId="19BE030A">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2.具备网络安全等级测评师证书的基础上，具有1名具备信息安全保障人员认证证书（CISAW）1分，每增加1名加1分，满分2分。</w:t>
            </w:r>
          </w:p>
          <w:p w14:paraId="478AAF69">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3.具备网络安全等级测评师证书的基础上，具有软考中级以上工程师资格1名得1分（信息安全工程师、网络工程师），每增加1名加1分，满分2分。</w:t>
            </w:r>
          </w:p>
          <w:p w14:paraId="2AD10EFE">
            <w:pPr>
              <w:widowControl/>
              <w:numPr>
                <w:ilvl w:val="0"/>
                <w:numId w:val="0"/>
              </w:numPr>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注：以上人员不能重复，提供人员身份证复印件、资质证书、2026年1月以来任意一个月在投标人单位的社保缴费证明，加盖投标人公章，否则不得分。</w:t>
            </w:r>
          </w:p>
        </w:tc>
        <w:tc>
          <w:tcPr>
            <w:tcW w:w="710" w:type="dxa"/>
            <w:vAlign w:val="center"/>
          </w:tcPr>
          <w:p w14:paraId="61DBB64B">
            <w:pPr>
              <w:spacing w:line="48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30</w:t>
            </w:r>
          </w:p>
        </w:tc>
      </w:tr>
      <w:tr w14:paraId="274F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vAlign w:val="center"/>
          </w:tcPr>
          <w:p w14:paraId="21ADE321">
            <w:pPr>
              <w:spacing w:line="480" w:lineRule="exact"/>
              <w:jc w:val="center"/>
              <w:rPr>
                <w:rFonts w:hint="eastAsia" w:ascii="仿宋_GB2312" w:hAnsi="仿宋_GB2312" w:eastAsia="仿宋_GB2312" w:cs="仿宋_GB2312"/>
                <w:b/>
                <w:bCs/>
                <w:color w:val="000000"/>
                <w:sz w:val="24"/>
                <w:szCs w:val="24"/>
              </w:rPr>
            </w:pPr>
          </w:p>
        </w:tc>
        <w:tc>
          <w:tcPr>
            <w:tcW w:w="918" w:type="dxa"/>
            <w:vAlign w:val="center"/>
          </w:tcPr>
          <w:p w14:paraId="7744A93B">
            <w:pPr>
              <w:spacing w:line="48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供应商实力</w:t>
            </w:r>
          </w:p>
        </w:tc>
        <w:tc>
          <w:tcPr>
            <w:tcW w:w="5946" w:type="dxa"/>
            <w:vAlign w:val="top"/>
          </w:tcPr>
          <w:p w14:paraId="2AE15F8B">
            <w:pPr>
              <w:pStyle w:val="4"/>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（1）供应商具有效的信息安全管理体系认证证书（ISO27001）的得5分；</w:t>
            </w:r>
          </w:p>
          <w:p w14:paraId="3D3F657F">
            <w:pPr>
              <w:pStyle w:val="4"/>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（2）供应商具有效的质量管理体系认证证书（ISO9001）的得5分；</w:t>
            </w:r>
          </w:p>
          <w:p w14:paraId="43351B5D">
            <w:pPr>
              <w:widowControl/>
              <w:numPr>
                <w:ilvl w:val="0"/>
                <w:numId w:val="0"/>
              </w:numPr>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（3）供应商具备有效的信息安全服务资质认证证书-网络安全审计服务资质的得5分；</w:t>
            </w:r>
          </w:p>
          <w:p w14:paraId="03DE9AB6">
            <w:pPr>
              <w:widowControl/>
              <w:numPr>
                <w:ilvl w:val="0"/>
                <w:numId w:val="0"/>
              </w:numPr>
              <w:wordWrap w:val="0"/>
              <w:spacing w:line="360" w:lineRule="auto"/>
              <w:jc w:val="both"/>
              <w:rPr>
                <w:rFonts w:hint="eastAsia" w:ascii="仿宋_GB2312" w:hAnsi="仿宋_GB2312" w:eastAsia="仿宋_GB2312" w:cs="仿宋_GB2312"/>
                <w:sz w:val="24"/>
                <w:szCs w:val="24"/>
              </w:rPr>
            </w:pPr>
          </w:p>
        </w:tc>
        <w:tc>
          <w:tcPr>
            <w:tcW w:w="710" w:type="dxa"/>
            <w:vAlign w:val="center"/>
          </w:tcPr>
          <w:p w14:paraId="11ED4163">
            <w:pPr>
              <w:spacing w:line="48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r>
      <w:tr w14:paraId="78F8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restart"/>
            <w:vAlign w:val="center"/>
          </w:tcPr>
          <w:p w14:paraId="2CBF16D7">
            <w:pPr>
              <w:spacing w:line="480" w:lineRule="exact"/>
              <w:jc w:val="center"/>
              <w:rPr>
                <w:rFonts w:hint="default" w:ascii="仿宋_GB2312" w:hAnsi="仿宋_GB2312" w:eastAsia="仿宋_GB2312" w:cs="仿宋_GB2312"/>
                <w:b/>
                <w:bCs/>
                <w:color w:val="000000"/>
                <w:sz w:val="24"/>
                <w:szCs w:val="24"/>
                <w:lang w:val="en-US" w:eastAsia="zh-CN"/>
              </w:rPr>
            </w:pPr>
            <w:r>
              <w:rPr>
                <w:rFonts w:hint="eastAsia" w:ascii="黑体" w:hAnsi="黑体" w:eastAsia="黑体" w:cs="黑体"/>
                <w:b w:val="0"/>
                <w:bCs w:val="0"/>
                <w:color w:val="000000"/>
                <w:sz w:val="24"/>
                <w:szCs w:val="24"/>
                <w:lang w:val="en-US" w:eastAsia="zh-CN"/>
              </w:rPr>
              <w:t>技术部分（30分）</w:t>
            </w:r>
          </w:p>
        </w:tc>
        <w:tc>
          <w:tcPr>
            <w:tcW w:w="918" w:type="dxa"/>
            <w:vAlign w:val="center"/>
          </w:tcPr>
          <w:p w14:paraId="1C2E5F0D">
            <w:pPr>
              <w:spacing w:line="48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bCs/>
                <w:sz w:val="24"/>
              </w:rPr>
              <w:t>测评实施方案</w:t>
            </w:r>
          </w:p>
        </w:tc>
        <w:tc>
          <w:tcPr>
            <w:tcW w:w="5946" w:type="dxa"/>
            <w:vAlign w:val="top"/>
          </w:tcPr>
          <w:p w14:paraId="7CE9900C">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投标人提供测评实施方案，包括但不限于:项目范围、项目流程、工作内容、测评指标、测评工具、报告编制步骤等内容。根据方案进行综合评分:</w:t>
            </w:r>
          </w:p>
          <w:p w14:paraId="2FC8B292">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1.方案完整，合理性、可行性及针对性强的（6-10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5E8E3424">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2.方案完整，合理性、可行性及针对性一般的得（3-6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142981D5">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3.方案完整，合理性、可行性及针对性差得（0-3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5A5F2E00">
            <w:pPr>
              <w:widowControl/>
              <w:numPr>
                <w:ilvl w:val="0"/>
                <w:numId w:val="0"/>
              </w:numPr>
              <w:wordWrap w:val="0"/>
              <w:spacing w:line="360" w:lineRule="auto"/>
              <w:jc w:val="both"/>
              <w:rPr>
                <w:rFonts w:hint="eastAsia" w:ascii="宋体" w:hAnsi="宋体" w:eastAsia="宋体" w:cs="宋体"/>
                <w:szCs w:val="21"/>
              </w:rPr>
            </w:pPr>
            <w:r>
              <w:rPr>
                <w:rFonts w:hint="eastAsia" w:ascii="仿宋_GB2312" w:hAnsi="仿宋_GB2312" w:eastAsia="仿宋_GB2312" w:cs="仿宋_GB2312"/>
                <w:sz w:val="24"/>
                <w:szCs w:val="24"/>
              </w:rPr>
              <w:t>4.方案不完整或未提供不得分。</w:t>
            </w:r>
          </w:p>
        </w:tc>
        <w:tc>
          <w:tcPr>
            <w:tcW w:w="710" w:type="dxa"/>
            <w:vAlign w:val="center"/>
          </w:tcPr>
          <w:p w14:paraId="5660879A">
            <w:pPr>
              <w:spacing w:line="48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5677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vAlign w:val="center"/>
          </w:tcPr>
          <w:p w14:paraId="68AC9F0F">
            <w:pPr>
              <w:spacing w:line="480" w:lineRule="exact"/>
              <w:jc w:val="center"/>
              <w:rPr>
                <w:rFonts w:hint="eastAsia" w:ascii="黑体" w:hAnsi="黑体" w:eastAsia="黑体" w:cs="黑体"/>
                <w:b w:val="0"/>
                <w:bCs w:val="0"/>
                <w:color w:val="000000"/>
                <w:sz w:val="24"/>
                <w:szCs w:val="24"/>
                <w:lang w:val="en-US" w:eastAsia="zh-CN"/>
              </w:rPr>
            </w:pPr>
          </w:p>
        </w:tc>
        <w:tc>
          <w:tcPr>
            <w:tcW w:w="918" w:type="dxa"/>
            <w:vAlign w:val="center"/>
          </w:tcPr>
          <w:p w14:paraId="281C77DC">
            <w:pPr>
              <w:spacing w:line="480" w:lineRule="exact"/>
              <w:jc w:val="center"/>
              <w:rPr>
                <w:rFonts w:hint="eastAsia" w:ascii="宋体" w:hAnsi="宋体" w:eastAsia="宋体" w:cs="宋体"/>
                <w:bCs/>
                <w:sz w:val="24"/>
              </w:rPr>
            </w:pPr>
            <w:r>
              <w:rPr>
                <w:rFonts w:hint="eastAsia" w:ascii="仿宋_GB2312" w:hAnsi="仿宋_GB2312" w:eastAsia="仿宋_GB2312" w:cs="仿宋_GB2312"/>
                <w:bCs/>
                <w:sz w:val="24"/>
              </w:rPr>
              <w:t>测评风险管理方案</w:t>
            </w:r>
          </w:p>
        </w:tc>
        <w:tc>
          <w:tcPr>
            <w:tcW w:w="5946" w:type="dxa"/>
            <w:vAlign w:val="top"/>
          </w:tcPr>
          <w:p w14:paraId="71F9B17F">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投标人提供测评风险管理方案，包括但不限于:风险识别措施、风险分析措施、风险处置策略、风险监控策略、专门针对本项目可能发生的风险以及相应的应对措施。根据方案进行综合评分:</w:t>
            </w:r>
          </w:p>
          <w:p w14:paraId="4FDF2637">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1.方案完整，合理性、可行性及针对性强的（6-10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6B956D6A">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2.方案完整，合理性、可行性及针对性一般的得（3-6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1D31B665">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3.方案完整，合理性、可行性及针对性差得（0-3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34722E02">
            <w:pPr>
              <w:widowControl/>
              <w:numPr>
                <w:ilvl w:val="0"/>
                <w:numId w:val="0"/>
              </w:numPr>
              <w:wordWrap w:val="0"/>
              <w:spacing w:line="360" w:lineRule="auto"/>
              <w:jc w:val="both"/>
              <w:rPr>
                <w:rFonts w:hint="eastAsia" w:ascii="宋体" w:hAnsi="宋体" w:eastAsia="宋体" w:cs="宋体"/>
                <w:szCs w:val="21"/>
              </w:rPr>
            </w:pPr>
            <w:r>
              <w:rPr>
                <w:rFonts w:hint="eastAsia" w:ascii="仿宋_GB2312" w:hAnsi="仿宋_GB2312" w:eastAsia="仿宋_GB2312" w:cs="仿宋_GB2312"/>
                <w:sz w:val="24"/>
                <w:szCs w:val="24"/>
              </w:rPr>
              <w:t>4.方案不完整或未提供不得分。</w:t>
            </w:r>
          </w:p>
        </w:tc>
        <w:tc>
          <w:tcPr>
            <w:tcW w:w="710" w:type="dxa"/>
            <w:vAlign w:val="center"/>
          </w:tcPr>
          <w:p w14:paraId="1BAFEF72">
            <w:pPr>
              <w:spacing w:line="48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r w14:paraId="322D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vAlign w:val="center"/>
          </w:tcPr>
          <w:p w14:paraId="358D9834">
            <w:pPr>
              <w:spacing w:line="480" w:lineRule="exact"/>
              <w:jc w:val="center"/>
              <w:rPr>
                <w:rFonts w:hint="eastAsia" w:ascii="黑体" w:hAnsi="黑体" w:eastAsia="黑体" w:cs="黑体"/>
                <w:b w:val="0"/>
                <w:bCs w:val="0"/>
                <w:color w:val="000000"/>
                <w:sz w:val="24"/>
                <w:szCs w:val="24"/>
                <w:lang w:val="en-US" w:eastAsia="zh-CN"/>
              </w:rPr>
            </w:pPr>
          </w:p>
        </w:tc>
        <w:tc>
          <w:tcPr>
            <w:tcW w:w="918" w:type="dxa"/>
            <w:vAlign w:val="center"/>
          </w:tcPr>
          <w:p w14:paraId="71A95719">
            <w:pPr>
              <w:spacing w:line="480" w:lineRule="exact"/>
              <w:jc w:val="center"/>
              <w:rPr>
                <w:rFonts w:hint="eastAsia" w:ascii="宋体" w:hAnsi="宋体" w:eastAsia="宋体" w:cs="宋体"/>
                <w:bCs/>
                <w:sz w:val="24"/>
              </w:rPr>
            </w:pPr>
            <w:r>
              <w:rPr>
                <w:rFonts w:hint="eastAsia" w:ascii="仿宋_GB2312" w:hAnsi="仿宋_GB2312" w:eastAsia="仿宋_GB2312" w:cs="仿宋_GB2312"/>
                <w:bCs/>
                <w:sz w:val="24"/>
              </w:rPr>
              <w:t>服务质量保障方案</w:t>
            </w:r>
          </w:p>
        </w:tc>
        <w:tc>
          <w:tcPr>
            <w:tcW w:w="5946" w:type="dxa"/>
            <w:vAlign w:val="top"/>
          </w:tcPr>
          <w:p w14:paraId="1C545985">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投标人提供服务质量保障方案，包括但不限于:保密措施、应急保障、风险分析及规避措施、应急响应措施。根据方案进行综合评分:</w:t>
            </w:r>
          </w:p>
          <w:p w14:paraId="05C95DDE">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1.方案完整，合理性、可行性及针对性强的（6-10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66EEE106">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2.方案完整，合理性、可行性及针对性一般的得（3-6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4E26C1DB">
            <w:pPr>
              <w:widowControl/>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3.方案完整，合理性、可行性及针对性差得（0-3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分;</w:t>
            </w:r>
          </w:p>
          <w:p w14:paraId="474D5ADA">
            <w:pPr>
              <w:widowControl/>
              <w:numPr>
                <w:ilvl w:val="0"/>
                <w:numId w:val="0"/>
              </w:numPr>
              <w:wordWrap w:val="0"/>
              <w:spacing w:line="360" w:lineRule="auto"/>
              <w:jc w:val="both"/>
              <w:rPr>
                <w:rFonts w:hint="eastAsia" w:ascii="宋体" w:hAnsi="宋体" w:eastAsia="宋体" w:cs="宋体"/>
                <w:szCs w:val="21"/>
              </w:rPr>
            </w:pPr>
            <w:r>
              <w:rPr>
                <w:rFonts w:hint="eastAsia" w:ascii="仿宋_GB2312" w:hAnsi="仿宋_GB2312" w:eastAsia="仿宋_GB2312" w:cs="仿宋_GB2312"/>
                <w:sz w:val="24"/>
                <w:szCs w:val="24"/>
              </w:rPr>
              <w:t>4.方案不完整或未提供不得分。</w:t>
            </w:r>
          </w:p>
        </w:tc>
        <w:tc>
          <w:tcPr>
            <w:tcW w:w="710" w:type="dxa"/>
            <w:vAlign w:val="center"/>
          </w:tcPr>
          <w:p w14:paraId="35A51A13">
            <w:pPr>
              <w:spacing w:line="48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r>
    </w:tbl>
    <w:p w14:paraId="24D969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945F"/>
    <w:multiLevelType w:val="singleLevel"/>
    <w:tmpl w:val="94B994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7324"/>
    <w:rsid w:val="36F16EB3"/>
    <w:rsid w:val="52B05402"/>
    <w:rsid w:val="68CC43F1"/>
    <w:rsid w:val="790C1D0E"/>
    <w:rsid w:val="7E5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basedOn w:val="1"/>
    <w:qFormat/>
    <w:uiPriority w:val="1"/>
    <w:rPr>
      <w:rFonts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1404</Words>
  <Characters>1528</Characters>
  <Lines>0</Lines>
  <Paragraphs>0</Paragraphs>
  <TotalTime>20</TotalTime>
  <ScaleCrop>false</ScaleCrop>
  <LinksUpToDate>false</LinksUpToDate>
  <CharactersWithSpaces>1532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2026-03-25T01:11:00Z</dcterms:created>
  <dc:creator>Administrator</dc:creator>
  <cp:lastModifiedBy>Nizy</cp:lastModifiedBy>
  <dcterms:modified xsi:type="dcterms:W3CDTF">2026-03-25T01:44:55Z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eyJoZGlkIjoiOGI4ZTQzM2M4ZmI4ZWQ5ZThlOGVmZDBmMTM4OGVkMzEiLCJ1c2VySWQiOiIzMTIzMjYwMDYifQ==</vt:lpwstr>
  </property>
  <property fmtid="{D5CDD505-2E9C-101B-9397-08002B2CF9AE}" pid="4" name="ICV">
    <vt:lpwstr>E3A8836161494C558236B5B701DAAA3C_12</vt:lpwstr>
  </property>
</Properties>
</file>